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spacing w:line="60" w:lineRule="atLeast"/>
        <w:ind w:right="-332" w:rightChars="-105"/>
      </w:pPr>
      <w:r>
        <w:rPr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pict>
          <v:line id="直线 1025" o:spid="_x0000_s1026" style="position:absolute;left:0;margin-left:0pt;margin-top:27.4pt;height:2.3pt;width:441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pict>
          <v:line id="直线 1026" o:spid="_x0000_s1027" style="position:absolute;left:0;margin-left:0pt;margin-top:0.85pt;height:2.2pt;width:441pt;rotation:0f;z-index:251658240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仿宋_GB2312" w:eastAsia="仿宋_GB2312"/>
          <w:szCs w:val="32"/>
        </w:rPr>
        <w:t>辽宁省科学技术协会办公室           201</w:t>
      </w:r>
      <w:r>
        <w:rPr>
          <w:rFonts w:hint="eastAsia" w:ascii="仿宋_GB2312" w:eastAsia="仿宋_GB2312"/>
          <w:szCs w:val="32"/>
          <w:lang w:val="en-US" w:eastAsia="zh-CN"/>
        </w:rPr>
        <w:t>6</w:t>
      </w:r>
      <w:r>
        <w:rPr>
          <w:rFonts w:hint="eastAsia" w:ascii="仿宋_GB2312" w:eastAsia="仿宋_GB2312"/>
          <w:szCs w:val="32"/>
        </w:rPr>
        <w:t>年</w:t>
      </w:r>
      <w:r>
        <w:rPr>
          <w:rFonts w:hint="eastAsia" w:ascii="仿宋_GB2312" w:eastAsia="仿宋_GB2312"/>
          <w:szCs w:val="32"/>
          <w:lang w:val="en-US" w:eastAsia="zh-CN"/>
        </w:rPr>
        <w:t>2</w:t>
      </w:r>
      <w:r>
        <w:rPr>
          <w:rFonts w:hint="eastAsia" w:ascii="仿宋_GB2312" w:eastAsia="仿宋_GB2312"/>
          <w:szCs w:val="32"/>
        </w:rPr>
        <w:t>月</w:t>
      </w:r>
      <w:r>
        <w:rPr>
          <w:rFonts w:hint="eastAsia" w:ascii="仿宋_GB2312" w:eastAsia="仿宋_GB231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Cs w:val="32"/>
        </w:rPr>
        <w:t>日印发</w:t>
      </w:r>
      <w:bookmarkStart w:id="0" w:name="_GoBack"/>
      <w:bookmarkEnd w:id="0"/>
    </w:p>
    <w:sectPr>
      <w:footerReference r:id="rId4" w:type="default"/>
      <w:footerReference r:id="rId5" w:type="even"/>
      <w:pgSz w:w="11906" w:h="16838"/>
      <w:pgMar w:top="2098" w:right="1474" w:bottom="1985" w:left="1588" w:header="851" w:footer="1588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="1411" w:wrap="around" w:hAnchor="margin" w:vAnchor="text" w:xAlign="outside" w:y="3"/>
      <w:ind w:firstLine="280" w:firstLineChars="100"/>
      <w:rPr>
        <w:rStyle w:val="4"/>
        <w:rFonts w:hint="eastAsia" w:ascii="宋体" w:hAnsi="宋体"/>
        <w:sz w:val="28"/>
        <w:szCs w:val="28"/>
      </w:rPr>
    </w:pPr>
    <w:r>
      <w:rPr>
        <w:rStyle w:val="4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4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0"/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semiHidden/>
    <w:unhideWhenUsed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2016-02-23T07:25:00Z</dcterms:created>
  <cp:lastModifiedBy>admin</cp:lastModifiedBy>
  <dcterms:modified xsi:type="dcterms:W3CDTF">2016-02-23T07:27:43Z</dcterms:modified>
  <dc:title> 辽宁省科学技术协会办公室           2016年2月 日印发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