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after="150"/>
        <w:ind w:right="150"/>
        <w:jc w:val="center"/>
        <w:rPr>
          <w:rFonts w:ascii="Times New Roman" w:hAnsi="Times New Roman" w:eastAsia="宋体" w:cs="Times New Roman"/>
          <w:color w:val="333333"/>
          <w:kern w:val="0"/>
          <w:sz w:val="36"/>
          <w:szCs w:val="36"/>
        </w:rPr>
      </w:pPr>
      <w:r>
        <w:rPr>
          <w:rFonts w:hint="eastAsia" w:ascii="Calibri" w:hAnsi="Calibri" w:eastAsia="宋体" w:cs="Times New Roman"/>
          <w:b/>
          <w:color w:val="333333"/>
          <w:kern w:val="0"/>
          <w:sz w:val="36"/>
          <w:szCs w:val="36"/>
        </w:rPr>
        <w:t>大连科技学院</w:t>
      </w:r>
      <w:r>
        <w:rPr>
          <w:rFonts w:hint="eastAsia" w:ascii="Calibri" w:hAnsi="Calibri" w:eastAsia="宋体" w:cs="Times New Roman"/>
          <w:b/>
          <w:color w:val="333333"/>
          <w:kern w:val="0"/>
          <w:sz w:val="36"/>
          <w:szCs w:val="36"/>
          <w:lang w:val="en-US" w:eastAsia="zh-CN"/>
        </w:rPr>
        <w:t>本科</w:t>
      </w:r>
      <w:bookmarkStart w:id="0" w:name="_GoBack"/>
      <w:bookmarkEnd w:id="0"/>
      <w:r>
        <w:rPr>
          <w:rFonts w:hint="eastAsia" w:ascii="Calibri" w:hAnsi="Calibri" w:eastAsia="宋体" w:cs="Times New Roman"/>
          <w:b/>
          <w:color w:val="333333"/>
          <w:kern w:val="0"/>
          <w:sz w:val="36"/>
          <w:szCs w:val="36"/>
        </w:rPr>
        <w:t>教学成果奖评审指标体系</w:t>
      </w:r>
    </w:p>
    <w:p>
      <w:pPr>
        <w:widowControl/>
        <w:spacing w:before="150" w:after="150"/>
        <w:ind w:left="420" w:right="150" w:hanging="420"/>
        <w:jc w:val="left"/>
        <w:rPr>
          <w:rFonts w:ascii="Times New Roman" w:hAnsi="Times New Roman" w:eastAsia="宋体" w:cs="Times New Roman"/>
          <w:color w:val="333333"/>
          <w:kern w:val="0"/>
          <w:sz w:val="20"/>
          <w:szCs w:val="20"/>
        </w:rPr>
      </w:pPr>
    </w:p>
    <w:tbl>
      <w:tblPr>
        <w:tblStyle w:val="4"/>
        <w:tblW w:w="882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1753"/>
        <w:gridCol w:w="4395"/>
        <w:gridCol w:w="708"/>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一级指标</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二级指标</w:t>
            </w:r>
          </w:p>
        </w:tc>
        <w:tc>
          <w:tcPr>
            <w:tcW w:w="4395" w:type="dxa"/>
            <w:tcBorders>
              <w:top w:val="single" w:color="auto" w:sz="4" w:space="0"/>
              <w:left w:val="single" w:color="auto" w:sz="4" w:space="0"/>
              <w:right w:val="single" w:color="auto" w:sz="4" w:space="0"/>
            </w:tcBorders>
            <w:shd w:val="clear" w:color="auto" w:fill="FFFFFF"/>
            <w:vAlign w:val="center"/>
          </w:tcPr>
          <w:p>
            <w:pPr>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主要内涵</w:t>
            </w:r>
          </w:p>
        </w:tc>
        <w:tc>
          <w:tcPr>
            <w:tcW w:w="708" w:type="dxa"/>
            <w:tcBorders>
              <w:top w:val="single" w:color="auto" w:sz="4" w:space="0"/>
              <w:left w:val="single" w:color="auto" w:sz="4" w:space="0"/>
              <w:right w:val="single" w:color="auto" w:sz="4" w:space="0"/>
            </w:tcBorders>
            <w:shd w:val="clear" w:color="auto" w:fill="FFFFFF"/>
            <w:vAlign w:val="center"/>
          </w:tcPr>
          <w:p>
            <w:pPr>
              <w:widowControl/>
              <w:jc w:val="center"/>
              <w:rPr>
                <w:rFonts w:ascii="Calibri" w:hAnsi="Calibri" w:eastAsia="宋体" w:cs="Times New Roman"/>
                <w:color w:val="333333"/>
                <w:kern w:val="0"/>
                <w:sz w:val="24"/>
                <w:szCs w:val="24"/>
              </w:rPr>
            </w:pPr>
            <w:r>
              <w:rPr>
                <w:rFonts w:hint="eastAsia" w:ascii="Calibri" w:hAnsi="Calibri" w:eastAsia="宋体" w:cs="Times New Roman"/>
                <w:color w:val="333333"/>
                <w:kern w:val="0"/>
                <w:sz w:val="24"/>
                <w:szCs w:val="24"/>
              </w:rPr>
              <w:t>满分</w:t>
            </w:r>
          </w:p>
        </w:tc>
        <w:tc>
          <w:tcPr>
            <w:tcW w:w="72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23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Calibri" w:hAnsi="Calibri" w:eastAsia="宋体" w:cs="Times New Roman"/>
                <w:color w:val="333333"/>
                <w:kern w:val="0"/>
                <w:sz w:val="24"/>
                <w:szCs w:val="24"/>
              </w:rPr>
            </w:pPr>
            <w:r>
              <w:rPr>
                <w:rFonts w:ascii="Times New Roman" w:hAnsi="Times New Roman" w:eastAsia="宋体" w:cs="Times New Roman"/>
                <w:color w:val="333333"/>
                <w:kern w:val="0"/>
                <w:sz w:val="24"/>
                <w:szCs w:val="24"/>
              </w:rPr>
              <w:t>1</w:t>
            </w:r>
            <w:r>
              <w:rPr>
                <w:rFonts w:hint="eastAsia" w:ascii="Calibri" w:hAnsi="Calibri" w:eastAsia="宋体" w:cs="Times New Roman"/>
                <w:color w:val="333333"/>
                <w:kern w:val="0"/>
                <w:sz w:val="24"/>
                <w:szCs w:val="24"/>
              </w:rPr>
              <w:t>.一般</w:t>
            </w:r>
          </w:p>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形式（</w:t>
            </w:r>
            <w:r>
              <w:rPr>
                <w:rFonts w:hint="eastAsia" w:ascii="Times New Roman" w:hAnsi="Times New Roman" w:eastAsia="宋体" w:cs="Times New Roman"/>
                <w:color w:val="333333"/>
                <w:kern w:val="0"/>
                <w:sz w:val="24"/>
                <w:szCs w:val="24"/>
              </w:rPr>
              <w:t>8</w:t>
            </w:r>
            <w:r>
              <w:rPr>
                <w:rFonts w:hint="eastAsia" w:ascii="Calibri" w:hAnsi="Calibri" w:eastAsia="宋体" w:cs="Times New Roman"/>
                <w:color w:val="333333"/>
                <w:kern w:val="0"/>
                <w:sz w:val="24"/>
                <w:szCs w:val="24"/>
              </w:rPr>
              <w:t>）</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1-1</w:t>
            </w:r>
            <w:r>
              <w:rPr>
                <w:rFonts w:hint="eastAsia" w:ascii="Calibri" w:hAnsi="Calibri" w:eastAsia="宋体" w:cs="Times New Roman"/>
                <w:color w:val="333333"/>
                <w:kern w:val="0"/>
                <w:sz w:val="24"/>
                <w:szCs w:val="24"/>
              </w:rPr>
              <w:t>成果名称</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准确、简明地反映出成果的主要内容和特征，能概括成果的属性和内涵。</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Times New Roman" w:hAnsi="Times New Roman" w:eastAsia="宋体" w:cs="Times New Roman"/>
                <w:color w:val="333333"/>
                <w:kern w:val="0"/>
                <w:sz w:val="24"/>
                <w:szCs w:val="24"/>
              </w:rPr>
              <w:t>2</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1-2</w:t>
            </w:r>
            <w:r>
              <w:rPr>
                <w:rFonts w:hint="eastAsia" w:ascii="Calibri" w:hAnsi="Calibri" w:eastAsia="宋体" w:cs="Times New Roman"/>
                <w:color w:val="333333"/>
                <w:kern w:val="0"/>
                <w:sz w:val="24"/>
                <w:szCs w:val="24"/>
              </w:rPr>
              <w:t>实践年限</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经过两年以上教育教学实践检验。实践检验的起始时间，应从正式实施</w:t>
            </w:r>
            <w:r>
              <w:rPr>
                <w:rFonts w:ascii="Times New Roman" w:hAnsi="Times New Roman" w:cs="Times New Roman"/>
                <w:color w:val="333333"/>
              </w:rPr>
              <w:t>(</w:t>
            </w:r>
            <w:r>
              <w:rPr>
                <w:rFonts w:hint="eastAsia" w:ascii="Times New Roman" w:hAnsi="Times New Roman" w:cs="Times New Roman"/>
                <w:color w:val="333333"/>
              </w:rPr>
              <w:t>包括正式试行</w:t>
            </w:r>
            <w:r>
              <w:rPr>
                <w:rFonts w:ascii="Times New Roman" w:hAnsi="Times New Roman" w:cs="Times New Roman"/>
                <w:color w:val="333333"/>
              </w:rPr>
              <w:t>)</w:t>
            </w:r>
            <w:r>
              <w:rPr>
                <w:rFonts w:hint="eastAsia" w:ascii="Times New Roman" w:hAnsi="Times New Roman" w:cs="Times New Roman"/>
                <w:color w:val="333333"/>
              </w:rPr>
              <w:t>教育教学方案的时间开始计算，不含研讨、论证及制定方案的时间。</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Times New Roman" w:hAnsi="Times New Roman" w:eastAsia="宋体" w:cs="Times New Roman"/>
                <w:color w:val="333333"/>
                <w:kern w:val="0"/>
                <w:sz w:val="24"/>
                <w:szCs w:val="24"/>
              </w:rPr>
              <w:t>2</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1-3</w:t>
            </w:r>
            <w:r>
              <w:rPr>
                <w:rFonts w:hint="eastAsia" w:ascii="Calibri" w:hAnsi="Calibri" w:eastAsia="宋体" w:cs="Times New Roman"/>
                <w:color w:val="333333"/>
                <w:kern w:val="0"/>
                <w:sz w:val="24"/>
                <w:szCs w:val="24"/>
              </w:rPr>
              <w:t>申报材料</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申报材料齐全，推荐书填写规范，格式符合规定要求。凡涉及到该项成果实质内容的说明、论据及实验结果等，均应直接叙述。</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ind w:right="-107" w:rightChars="-51"/>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1-4</w:t>
            </w:r>
            <w:r>
              <w:rPr>
                <w:rFonts w:hint="eastAsia" w:ascii="Calibri" w:hAnsi="Calibri" w:eastAsia="宋体" w:cs="Times New Roman"/>
                <w:color w:val="333333"/>
                <w:kern w:val="0"/>
                <w:sz w:val="24"/>
                <w:szCs w:val="24"/>
              </w:rPr>
              <w:t>主要完成人</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主要完成人为直接参加成果的方案设计、论证、研究和实施全过程，并做出主要贡献的人员。</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3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Calibri" w:hAnsi="Calibri" w:eastAsia="宋体" w:cs="Times New Roman"/>
                <w:color w:val="333333"/>
                <w:kern w:val="0"/>
                <w:sz w:val="24"/>
                <w:szCs w:val="24"/>
              </w:rPr>
            </w:pPr>
            <w:r>
              <w:rPr>
                <w:rFonts w:ascii="Times New Roman" w:hAnsi="Times New Roman" w:eastAsia="宋体" w:cs="Times New Roman"/>
                <w:color w:val="333333"/>
                <w:kern w:val="0"/>
                <w:sz w:val="24"/>
                <w:szCs w:val="24"/>
              </w:rPr>
              <w:t>2</w:t>
            </w:r>
            <w:r>
              <w:rPr>
                <w:rFonts w:hint="eastAsia" w:ascii="Calibri" w:hAnsi="Calibri" w:eastAsia="宋体" w:cs="Times New Roman"/>
                <w:color w:val="333333"/>
                <w:kern w:val="0"/>
                <w:sz w:val="24"/>
                <w:szCs w:val="24"/>
              </w:rPr>
              <w:t>.成果</w:t>
            </w:r>
          </w:p>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内容（</w:t>
            </w:r>
            <w:r>
              <w:rPr>
                <w:rFonts w:ascii="Times New Roman" w:hAnsi="Times New Roman" w:eastAsia="宋体" w:cs="Times New Roman"/>
                <w:color w:val="333333"/>
                <w:kern w:val="0"/>
                <w:sz w:val="24"/>
                <w:szCs w:val="24"/>
              </w:rPr>
              <w:t>2</w:t>
            </w:r>
            <w:r>
              <w:rPr>
                <w:rFonts w:hint="eastAsia" w:ascii="Times New Roman" w:hAnsi="Times New Roman" w:eastAsia="宋体" w:cs="Times New Roman"/>
                <w:color w:val="333333"/>
                <w:kern w:val="0"/>
                <w:sz w:val="24"/>
                <w:szCs w:val="24"/>
              </w:rPr>
              <w:t>8</w:t>
            </w:r>
            <w:r>
              <w:rPr>
                <w:rFonts w:hint="eastAsia" w:ascii="Calibri" w:hAnsi="Calibri" w:eastAsia="宋体" w:cs="Times New Roman"/>
                <w:color w:val="333333"/>
                <w:kern w:val="0"/>
                <w:sz w:val="24"/>
                <w:szCs w:val="24"/>
              </w:rPr>
              <w:t>）</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2-1</w:t>
            </w:r>
            <w:r>
              <w:rPr>
                <w:rFonts w:hint="eastAsia" w:ascii="Calibri" w:hAnsi="Calibri" w:eastAsia="宋体" w:cs="Times New Roman"/>
                <w:color w:val="333333"/>
                <w:kern w:val="0"/>
                <w:sz w:val="24"/>
                <w:szCs w:val="24"/>
              </w:rPr>
              <w:t>内容体现</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在转变教育思想和教育观念，调整专业结构，改革人才培养模式、课程体系、教学内容及改进教学方法和教育技术，全面推进素质教育，提高教育质量等方面具有较高价值的成果；在组织教学工作、推动教学及教学管理改革，加强教学基本建设，开展质量保证与监控工作，建立自我约束、自我发展的机制，实现教学管理现代化等方面有重要实效的成果。</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Times New Roman" w:hAnsi="Times New Roman" w:eastAsia="宋体" w:cs="Times New Roman"/>
                <w:color w:val="333333"/>
                <w:kern w:val="0"/>
                <w:sz w:val="24"/>
                <w:szCs w:val="24"/>
              </w:rPr>
              <w:t>8</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2-2</w:t>
            </w:r>
            <w:r>
              <w:rPr>
                <w:rFonts w:hint="eastAsia" w:ascii="Calibri" w:hAnsi="Calibri" w:eastAsia="宋体" w:cs="Times New Roman"/>
                <w:color w:val="333333"/>
                <w:kern w:val="0"/>
                <w:sz w:val="24"/>
                <w:szCs w:val="24"/>
              </w:rPr>
              <w:t>支撑条件</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具有校级及校级以上的教学改革实践项目、教学改革工程项目、专业及课程改革项目等相关项目的支撑成果。项目成果以正式发表、出版、结项、公布为准；未结项的仅作参考。</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2-3</w:t>
            </w:r>
            <w:r>
              <w:rPr>
                <w:rFonts w:hint="eastAsia" w:ascii="Calibri" w:hAnsi="Calibri" w:eastAsia="宋体" w:cs="Times New Roman"/>
                <w:color w:val="333333"/>
                <w:kern w:val="0"/>
                <w:sz w:val="24"/>
                <w:szCs w:val="24"/>
              </w:rPr>
              <w:t>方向性</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成果指导思想上符合国家的教育方针、政策、有关文件精神，具有先进性和导向性；与学校办学宗旨、层次、功能、目标定位等一致性程度。</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2-4</w:t>
            </w:r>
            <w:r>
              <w:rPr>
                <w:rFonts w:hint="eastAsia" w:ascii="Calibri" w:hAnsi="Calibri" w:eastAsia="宋体" w:cs="Times New Roman"/>
                <w:color w:val="333333"/>
                <w:kern w:val="0"/>
                <w:sz w:val="24"/>
                <w:szCs w:val="24"/>
              </w:rPr>
              <w:t>科学性</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成果体现教育教学规律，切实解决教育教学问题，具有科学性和先进性。</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ascii="Times New Roman" w:hAnsi="Times New Roman" w:cs="Times New Roman"/>
                <w:color w:val="333333"/>
              </w:rPr>
              <w:t>6</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2-5</w:t>
            </w:r>
            <w:r>
              <w:rPr>
                <w:rFonts w:hint="eastAsia" w:ascii="Calibri" w:hAnsi="Calibri" w:eastAsia="宋体" w:cs="Times New Roman"/>
                <w:color w:val="333333"/>
                <w:kern w:val="0"/>
                <w:sz w:val="24"/>
                <w:szCs w:val="24"/>
              </w:rPr>
              <w:t>饱满程度</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成果覆盖领域较广，具有一定的深度。</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ascii="Times New Roman" w:hAnsi="Times New Roman" w:cs="Times New Roman"/>
                <w:color w:val="333333"/>
              </w:rPr>
              <w:t>6</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23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3</w:t>
            </w:r>
            <w:r>
              <w:rPr>
                <w:rFonts w:hint="eastAsia" w:ascii="Calibri" w:hAnsi="Calibri" w:eastAsia="宋体" w:cs="Times New Roman"/>
                <w:color w:val="333333"/>
                <w:kern w:val="0"/>
                <w:sz w:val="24"/>
                <w:szCs w:val="24"/>
              </w:rPr>
              <w:t>.创新（</w:t>
            </w:r>
            <w:r>
              <w:rPr>
                <w:rFonts w:ascii="Times New Roman" w:hAnsi="Times New Roman" w:eastAsia="宋体" w:cs="Times New Roman"/>
                <w:color w:val="333333"/>
                <w:kern w:val="0"/>
                <w:sz w:val="24"/>
                <w:szCs w:val="24"/>
              </w:rPr>
              <w:t>20</w:t>
            </w:r>
            <w:r>
              <w:rPr>
                <w:rFonts w:hint="eastAsia" w:ascii="Calibri" w:hAnsi="Calibri" w:eastAsia="宋体" w:cs="Times New Roman"/>
                <w:color w:val="333333"/>
                <w:kern w:val="0"/>
                <w:sz w:val="24"/>
                <w:szCs w:val="24"/>
              </w:rPr>
              <w:t>）</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3-1</w:t>
            </w:r>
            <w:r>
              <w:rPr>
                <w:rFonts w:hint="eastAsia" w:ascii="Calibri" w:hAnsi="Calibri" w:eastAsia="宋体" w:cs="Times New Roman"/>
                <w:color w:val="333333"/>
                <w:kern w:val="0"/>
                <w:sz w:val="24"/>
                <w:szCs w:val="24"/>
              </w:rPr>
              <w:t>理论创新</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成果教育教学方案在设计、论证、制定和实施等方面有相应的理论基础，并有所创新。</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ascii="Times New Roman" w:hAnsi="Times New Roman" w:cs="Times New Roman"/>
                <w:color w:val="333333"/>
              </w:rPr>
              <w:t>10</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3-2</w:t>
            </w:r>
            <w:r>
              <w:rPr>
                <w:rFonts w:hint="eastAsia" w:ascii="Calibri" w:hAnsi="Calibri" w:eastAsia="宋体" w:cs="Times New Roman"/>
                <w:color w:val="333333"/>
                <w:kern w:val="0"/>
                <w:sz w:val="24"/>
                <w:szCs w:val="24"/>
              </w:rPr>
              <w:t>实践创新</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成果教育教学方案、措施，在实施过程中采取科学的方法使成果在实践中进一步创新和发展。</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ascii="Times New Roman" w:hAnsi="Times New Roman" w:cs="Times New Roman"/>
                <w:color w:val="333333"/>
              </w:rPr>
              <w:t>10</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3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Calibri" w:hAnsi="Calibri" w:eastAsia="宋体" w:cs="Times New Roman"/>
                <w:color w:val="333333"/>
                <w:kern w:val="0"/>
                <w:sz w:val="24"/>
                <w:szCs w:val="24"/>
              </w:rPr>
            </w:pPr>
            <w:r>
              <w:rPr>
                <w:rFonts w:ascii="Times New Roman" w:hAnsi="Times New Roman" w:eastAsia="宋体" w:cs="Times New Roman"/>
                <w:color w:val="333333"/>
                <w:kern w:val="0"/>
                <w:sz w:val="24"/>
                <w:szCs w:val="24"/>
              </w:rPr>
              <w:t>4</w:t>
            </w:r>
            <w:r>
              <w:rPr>
                <w:rFonts w:hint="eastAsia" w:ascii="Calibri" w:hAnsi="Calibri" w:eastAsia="宋体" w:cs="Times New Roman"/>
                <w:color w:val="333333"/>
                <w:kern w:val="0"/>
                <w:sz w:val="24"/>
                <w:szCs w:val="24"/>
              </w:rPr>
              <w:t>、应用</w:t>
            </w:r>
          </w:p>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情况（</w:t>
            </w:r>
            <w:r>
              <w:rPr>
                <w:rFonts w:hint="eastAsia" w:ascii="Times New Roman" w:hAnsi="Times New Roman" w:eastAsia="宋体" w:cs="Times New Roman"/>
                <w:color w:val="333333"/>
                <w:kern w:val="0"/>
                <w:sz w:val="24"/>
                <w:szCs w:val="24"/>
              </w:rPr>
              <w:t>28</w:t>
            </w:r>
            <w:r>
              <w:rPr>
                <w:rFonts w:hint="eastAsia" w:ascii="Calibri" w:hAnsi="Calibri" w:eastAsia="宋体" w:cs="Times New Roman"/>
                <w:color w:val="333333"/>
                <w:kern w:val="0"/>
                <w:sz w:val="24"/>
                <w:szCs w:val="24"/>
              </w:rPr>
              <w:t>）</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4-1</w:t>
            </w:r>
            <w:r>
              <w:rPr>
                <w:rFonts w:hint="eastAsia" w:ascii="Calibri" w:hAnsi="Calibri" w:eastAsia="宋体" w:cs="Times New Roman"/>
                <w:color w:val="333333"/>
                <w:kern w:val="0"/>
                <w:sz w:val="24"/>
                <w:szCs w:val="24"/>
              </w:rPr>
              <w:t>实施过程</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成果方案设计、论证、研究、实施过程及阶段性检查、验收等具有规范性、完整性和延续性。</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4-2</w:t>
            </w:r>
            <w:r>
              <w:rPr>
                <w:rFonts w:hint="eastAsia" w:ascii="Calibri" w:hAnsi="Calibri" w:eastAsia="宋体" w:cs="Times New Roman"/>
                <w:color w:val="333333"/>
                <w:kern w:val="0"/>
                <w:sz w:val="24"/>
                <w:szCs w:val="24"/>
              </w:rPr>
              <w:t>应用成效</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成果实施实践过程中学生、教师、同行及社会对成果应用的评价、反馈意见和对成果推广应用的认可程度。</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ascii="Times New Roman" w:hAnsi="Times New Roman" w:cs="Times New Roman"/>
                <w:color w:val="333333"/>
              </w:rPr>
              <w:t>10</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4-3</w:t>
            </w:r>
            <w:r>
              <w:rPr>
                <w:rFonts w:hint="eastAsia" w:ascii="Calibri" w:hAnsi="Calibri" w:eastAsia="宋体" w:cs="Times New Roman"/>
                <w:color w:val="333333"/>
                <w:kern w:val="0"/>
                <w:sz w:val="24"/>
                <w:szCs w:val="24"/>
              </w:rPr>
              <w:t>推广应用</w:t>
            </w:r>
          </w:p>
        </w:tc>
        <w:tc>
          <w:tcPr>
            <w:tcW w:w="4395" w:type="dxa"/>
            <w:tcBorders>
              <w:top w:val="single" w:color="auto" w:sz="4" w:space="0"/>
              <w:left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成果推广应用范围广泛及受益面较大，具有一定的深度。</w:t>
            </w:r>
          </w:p>
        </w:tc>
        <w:tc>
          <w:tcPr>
            <w:tcW w:w="708" w:type="dxa"/>
            <w:tcBorders>
              <w:top w:val="single" w:color="auto" w:sz="4" w:space="0"/>
              <w:left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hint="eastAsia" w:ascii="Times New Roman" w:hAnsi="Times New Roman" w:cs="Times New Roman"/>
                <w:color w:val="333333"/>
              </w:rPr>
              <w:t>8</w:t>
            </w:r>
          </w:p>
        </w:tc>
        <w:tc>
          <w:tcPr>
            <w:tcW w:w="726" w:type="dxa"/>
            <w:tcBorders>
              <w:top w:val="single" w:color="auto" w:sz="4" w:space="0"/>
              <w:left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4-4</w:t>
            </w:r>
            <w:r>
              <w:rPr>
                <w:rFonts w:hint="eastAsia" w:ascii="Calibri" w:hAnsi="Calibri" w:eastAsia="宋体" w:cs="Times New Roman"/>
                <w:color w:val="333333"/>
                <w:kern w:val="0"/>
                <w:sz w:val="24"/>
                <w:szCs w:val="24"/>
              </w:rPr>
              <w:t>预期前景</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成果进一步拓展的空间较大，应用前景比较广阔。</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hd w:val="clear" w:color="auto" w:fill="FFFFFF"/>
              <w:spacing w:before="0" w:beforeAutospacing="0" w:after="0" w:afterAutospacing="0" w:line="360" w:lineRule="exact"/>
              <w:jc w:val="center"/>
              <w:rPr>
                <w:rFonts w:ascii="Times New Roman" w:hAnsi="Times New Roman" w:cs="Times New Roman"/>
                <w:color w:val="333333"/>
              </w:rPr>
            </w:pPr>
            <w:r>
              <w:rPr>
                <w:rFonts w:hint="eastAsia" w:ascii="Times New Roman" w:hAnsi="Times New Roman" w:cs="Times New Roman"/>
                <w:color w:val="333333"/>
              </w:rPr>
              <w:t>6</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3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Calibri" w:hAnsi="Calibri" w:eastAsia="宋体" w:cs="Times New Roman"/>
                <w:color w:val="333333"/>
                <w:kern w:val="0"/>
                <w:sz w:val="24"/>
                <w:szCs w:val="24"/>
              </w:rPr>
            </w:pPr>
            <w:r>
              <w:rPr>
                <w:rFonts w:ascii="Times New Roman" w:hAnsi="Times New Roman" w:eastAsia="宋体" w:cs="Times New Roman"/>
                <w:color w:val="333333"/>
                <w:kern w:val="0"/>
                <w:sz w:val="24"/>
                <w:szCs w:val="24"/>
              </w:rPr>
              <w:t>5</w:t>
            </w:r>
            <w:r>
              <w:rPr>
                <w:rFonts w:hint="eastAsia" w:ascii="Calibri" w:hAnsi="Calibri" w:eastAsia="宋体" w:cs="Times New Roman"/>
                <w:color w:val="333333"/>
                <w:kern w:val="0"/>
                <w:sz w:val="24"/>
                <w:szCs w:val="24"/>
              </w:rPr>
              <w:t>、综合</w:t>
            </w:r>
          </w:p>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水平（</w:t>
            </w:r>
            <w:r>
              <w:rPr>
                <w:rFonts w:ascii="Times New Roman" w:hAnsi="Times New Roman" w:eastAsia="宋体" w:cs="Times New Roman"/>
                <w:color w:val="333333"/>
                <w:kern w:val="0"/>
                <w:sz w:val="24"/>
                <w:szCs w:val="24"/>
              </w:rPr>
              <w:t>1</w:t>
            </w:r>
            <w:r>
              <w:rPr>
                <w:rFonts w:hint="eastAsia" w:ascii="Times New Roman" w:hAnsi="Times New Roman" w:eastAsia="宋体" w:cs="Times New Roman"/>
                <w:color w:val="333333"/>
                <w:kern w:val="0"/>
                <w:sz w:val="24"/>
                <w:szCs w:val="24"/>
              </w:rPr>
              <w:t>6</w:t>
            </w:r>
            <w:r>
              <w:rPr>
                <w:rFonts w:hint="eastAsia" w:ascii="Calibri" w:hAnsi="Calibri" w:eastAsia="宋体" w:cs="Times New Roman"/>
                <w:color w:val="333333"/>
                <w:kern w:val="0"/>
                <w:sz w:val="24"/>
                <w:szCs w:val="24"/>
              </w:rPr>
              <w:t>）</w:t>
            </w: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5-1</w:t>
            </w:r>
            <w:r>
              <w:rPr>
                <w:rFonts w:hint="eastAsia" w:ascii="Calibri" w:hAnsi="Calibri" w:eastAsia="宋体" w:cs="Times New Roman"/>
                <w:color w:val="333333"/>
                <w:kern w:val="0"/>
                <w:sz w:val="24"/>
                <w:szCs w:val="24"/>
              </w:rPr>
              <w:t>领先程度</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在全校处于领先水平并产生一定影响的，在教育教学改革方面有一定突破，对提高教学质量、实现培养目标有显著贡献。成果总结报告水平体现或公开发表论文刊物的重要程度及在国内外同行中的影响。</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12</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2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333333"/>
                <w:kern w:val="0"/>
                <w:sz w:val="24"/>
                <w:szCs w:val="24"/>
              </w:rPr>
            </w:pPr>
          </w:p>
        </w:tc>
        <w:tc>
          <w:tcPr>
            <w:tcW w:w="175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5-2</w:t>
            </w:r>
            <w:r>
              <w:rPr>
                <w:rFonts w:hint="eastAsia" w:ascii="Calibri" w:hAnsi="Calibri" w:eastAsia="宋体" w:cs="Times New Roman"/>
                <w:color w:val="333333"/>
                <w:kern w:val="0"/>
                <w:sz w:val="24"/>
                <w:szCs w:val="24"/>
              </w:rPr>
              <w:t>项目认可程度</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支撑项目等级较高，具体可以分为国家级、省级、校级等。成果已获奖励时间、种类、等级，奖金及授奖部门情况（不包括商业性的奖励）。</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Times New Roman" w:hAnsi="Times New Roman" w:eastAsia="宋体" w:cs="Times New Roman"/>
                <w:color w:val="333333"/>
                <w:kern w:val="0"/>
                <w:sz w:val="24"/>
                <w:szCs w:val="24"/>
              </w:rPr>
              <w:t>4</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299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Calibri" w:hAnsi="Calibri" w:eastAsia="宋体" w:cs="Times New Roman"/>
                <w:color w:val="333333"/>
                <w:kern w:val="0"/>
                <w:sz w:val="24"/>
                <w:szCs w:val="24"/>
              </w:rPr>
              <w:t>项目特色</w:t>
            </w:r>
            <w:r>
              <w:rPr>
                <w:rFonts w:hint="eastAsia" w:ascii="Times New Roman" w:hAnsi="Times New Roman" w:eastAsia="宋体" w:cs="Times New Roman"/>
                <w:color w:val="333333"/>
                <w:kern w:val="0"/>
                <w:sz w:val="24"/>
                <w:szCs w:val="24"/>
              </w:rPr>
              <w:t>（10）</w:t>
            </w:r>
          </w:p>
        </w:tc>
        <w:tc>
          <w:tcPr>
            <w:tcW w:w="4395" w:type="dxa"/>
            <w:tcBorders>
              <w:top w:val="single" w:color="auto" w:sz="4" w:space="0"/>
              <w:left w:val="single" w:color="auto" w:sz="4" w:space="0"/>
              <w:bottom w:val="single" w:color="auto" w:sz="4" w:space="0"/>
              <w:right w:val="single" w:color="auto" w:sz="4" w:space="0"/>
            </w:tcBorders>
            <w:shd w:val="clear" w:color="auto" w:fill="FFFFFF"/>
          </w:tcPr>
          <w:p>
            <w:pPr>
              <w:pStyle w:val="9"/>
              <w:shd w:val="clear" w:color="auto" w:fill="FFFFFF"/>
              <w:spacing w:before="0" w:beforeAutospacing="0" w:after="0" w:afterAutospacing="0" w:line="360" w:lineRule="exact"/>
              <w:jc w:val="both"/>
              <w:rPr>
                <w:rFonts w:ascii="Times New Roman" w:hAnsi="Times New Roman" w:cs="Times New Roman"/>
                <w:color w:val="333333"/>
              </w:rPr>
            </w:pPr>
            <w:r>
              <w:rPr>
                <w:rFonts w:hint="eastAsia" w:ascii="Times New Roman" w:hAnsi="Times New Roman" w:cs="Times New Roman"/>
                <w:color w:val="333333"/>
              </w:rPr>
              <w:t>在教育教学及教学管理改革、教学手段革新、提高教学质量、实现培养目标、人才培养效益和对社会经济文化建设贡献等方面具有突出的、为社会所认可的特色。</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Times New Roman" w:hAnsi="Times New Roman" w:eastAsia="宋体" w:cs="Times New Roman"/>
                <w:color w:val="333333"/>
                <w:kern w:val="0"/>
                <w:sz w:val="24"/>
                <w:szCs w:val="24"/>
              </w:rPr>
            </w:pPr>
            <w:r>
              <w:rPr>
                <w:rFonts w:hint="eastAsia" w:ascii="Times New Roman" w:hAnsi="Times New Roman" w:eastAsia="宋体" w:cs="Times New Roman"/>
                <w:color w:val="333333"/>
                <w:kern w:val="0"/>
                <w:sz w:val="24"/>
                <w:szCs w:val="24"/>
              </w:rPr>
              <w:t>10</w:t>
            </w:r>
          </w:p>
        </w:tc>
        <w:tc>
          <w:tcPr>
            <w:tcW w:w="726" w:type="dxa"/>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Times New Roman" w:hAnsi="Times New Roman" w:eastAsia="宋体" w:cs="Times New Roman"/>
                <w:color w:val="333333"/>
                <w:kern w:val="0"/>
                <w:sz w:val="24"/>
                <w:szCs w:val="24"/>
              </w:rPr>
            </w:pPr>
            <w:r>
              <w:rPr>
                <w:rFonts w:ascii="Times New Roman" w:hAnsi="Times New Roman" w:eastAsia="宋体" w:cs="Times New Roman"/>
                <w:color w:val="333333"/>
                <w:kern w:val="0"/>
                <w:sz w:val="24"/>
                <w:szCs w:val="24"/>
              </w:rPr>
              <w:t> </w:t>
            </w:r>
          </w:p>
        </w:tc>
      </w:tr>
    </w:tbl>
    <w:p>
      <w:pPr>
        <w:widowControl/>
        <w:spacing w:before="150" w:after="150"/>
        <w:ind w:right="150"/>
        <w:jc w:val="left"/>
        <w:rPr>
          <w:rFonts w:ascii="Calibri" w:hAnsi="Calibri" w:eastAsia="宋体" w:cs="Times New Roman"/>
          <w:color w:val="333333"/>
          <w:kern w:val="0"/>
          <w:sz w:val="20"/>
          <w:szCs w:val="20"/>
        </w:rPr>
      </w:pPr>
    </w:p>
    <w:p>
      <w:pPr>
        <w:widowControl/>
        <w:spacing w:before="150" w:after="150"/>
        <w:ind w:left="142" w:right="-341"/>
        <w:jc w:val="left"/>
        <w:rPr>
          <w:rFonts w:ascii="Times New Roman" w:hAnsi="Times New Roman" w:eastAsia="宋体" w:cs="Times New Roman"/>
          <w:color w:val="333333"/>
          <w:kern w:val="0"/>
          <w:sz w:val="20"/>
          <w:szCs w:val="20"/>
        </w:rPr>
      </w:pPr>
      <w:r>
        <w:rPr>
          <w:rFonts w:hint="eastAsia" w:ascii="Times New Roman" w:hAnsi="Times New Roman" w:eastAsia="宋体" w:cs="Times New Roman"/>
          <w:color w:val="333333"/>
          <w:kern w:val="0"/>
          <w:sz w:val="24"/>
          <w:szCs w:val="24"/>
        </w:rPr>
        <w:t>说明：</w:t>
      </w:r>
      <w:r>
        <w:rPr>
          <w:rFonts w:hint="eastAsia" w:ascii="Calibri" w:hAnsi="Calibri" w:eastAsia="宋体" w:cs="Times New Roman"/>
          <w:color w:val="333333"/>
          <w:kern w:val="0"/>
          <w:sz w:val="24"/>
          <w:szCs w:val="24"/>
        </w:rPr>
        <w:t>本指标体系共设</w:t>
      </w:r>
      <w:r>
        <w:rPr>
          <w:rFonts w:ascii="Times New Roman" w:hAnsi="Times New Roman" w:eastAsia="宋体" w:cs="Times New Roman"/>
          <w:color w:val="333333"/>
          <w:kern w:val="0"/>
          <w:sz w:val="24"/>
          <w:szCs w:val="24"/>
        </w:rPr>
        <w:t>5</w:t>
      </w:r>
      <w:r>
        <w:rPr>
          <w:rFonts w:hint="eastAsia" w:ascii="Calibri" w:hAnsi="Calibri" w:eastAsia="宋体" w:cs="Times New Roman"/>
          <w:color w:val="333333"/>
          <w:kern w:val="0"/>
          <w:sz w:val="24"/>
          <w:szCs w:val="24"/>
        </w:rPr>
        <w:t>个一级指标，</w:t>
      </w:r>
      <w:r>
        <w:rPr>
          <w:rFonts w:ascii="Times New Roman" w:hAnsi="Times New Roman" w:eastAsia="宋体" w:cs="Times New Roman"/>
          <w:color w:val="333333"/>
          <w:kern w:val="0"/>
          <w:sz w:val="24"/>
          <w:szCs w:val="24"/>
        </w:rPr>
        <w:t>1</w:t>
      </w:r>
      <w:r>
        <w:rPr>
          <w:rFonts w:hint="eastAsia" w:ascii="Times New Roman" w:hAnsi="Times New Roman" w:eastAsia="宋体" w:cs="Times New Roman"/>
          <w:color w:val="333333"/>
          <w:kern w:val="0"/>
          <w:sz w:val="24"/>
          <w:szCs w:val="24"/>
        </w:rPr>
        <w:t>7</w:t>
      </w:r>
      <w:r>
        <w:rPr>
          <w:rFonts w:hint="eastAsia" w:ascii="Calibri" w:hAnsi="Calibri" w:eastAsia="宋体" w:cs="Times New Roman"/>
          <w:color w:val="333333"/>
          <w:kern w:val="0"/>
          <w:sz w:val="24"/>
          <w:szCs w:val="24"/>
        </w:rPr>
        <w:t>个二级指标，</w:t>
      </w:r>
      <w:r>
        <w:rPr>
          <w:rFonts w:hint="eastAsia" w:ascii="Times New Roman" w:hAnsi="Times New Roman" w:eastAsia="宋体" w:cs="Times New Roman"/>
          <w:color w:val="333333"/>
          <w:kern w:val="0"/>
          <w:sz w:val="24"/>
          <w:szCs w:val="24"/>
        </w:rPr>
        <w:t>1</w:t>
      </w:r>
      <w:r>
        <w:rPr>
          <w:rFonts w:hint="eastAsia" w:ascii="Calibri" w:hAnsi="Calibri" w:eastAsia="宋体" w:cs="Times New Roman"/>
          <w:color w:val="333333"/>
          <w:kern w:val="0"/>
          <w:sz w:val="24"/>
          <w:szCs w:val="24"/>
        </w:rPr>
        <w:t>个加分指标。各指标的重要程度由设定的满分分值体现。本指标体系满分</w:t>
      </w:r>
      <w:r>
        <w:rPr>
          <w:rFonts w:ascii="Times New Roman" w:hAnsi="Times New Roman" w:eastAsia="宋体" w:cs="Times New Roman"/>
          <w:color w:val="333333"/>
          <w:kern w:val="0"/>
          <w:sz w:val="24"/>
          <w:szCs w:val="24"/>
        </w:rPr>
        <w:t>110</w:t>
      </w:r>
      <w:r>
        <w:rPr>
          <w:rFonts w:hint="eastAsia" w:ascii="Calibri" w:hAnsi="Calibri" w:eastAsia="宋体" w:cs="Times New Roman"/>
          <w:color w:val="333333"/>
          <w:kern w:val="0"/>
          <w:sz w:val="24"/>
          <w:szCs w:val="24"/>
        </w:rPr>
        <w:t>分（含加分指标</w:t>
      </w:r>
      <w:r>
        <w:rPr>
          <w:rFonts w:ascii="Times New Roman" w:hAnsi="Times New Roman" w:eastAsia="宋体" w:cs="Times New Roman"/>
          <w:color w:val="333333"/>
          <w:kern w:val="0"/>
          <w:sz w:val="24"/>
          <w:szCs w:val="24"/>
        </w:rPr>
        <w:t>10</w:t>
      </w:r>
      <w:r>
        <w:rPr>
          <w:rFonts w:hint="eastAsia" w:ascii="Calibri" w:hAnsi="Calibri" w:eastAsia="宋体" w:cs="Times New Roman"/>
          <w:color w:val="333333"/>
          <w:kern w:val="0"/>
          <w:sz w:val="24"/>
          <w:szCs w:val="24"/>
        </w:rPr>
        <w:t>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2A6"/>
    <w:rsid w:val="000013E4"/>
    <w:rsid w:val="00041B8D"/>
    <w:rsid w:val="001A2863"/>
    <w:rsid w:val="00232FB9"/>
    <w:rsid w:val="0048457A"/>
    <w:rsid w:val="00596C6E"/>
    <w:rsid w:val="005F0FE5"/>
    <w:rsid w:val="007249B5"/>
    <w:rsid w:val="0074315D"/>
    <w:rsid w:val="007F3E0F"/>
    <w:rsid w:val="00873BB9"/>
    <w:rsid w:val="008D386F"/>
    <w:rsid w:val="0098088D"/>
    <w:rsid w:val="00D052A6"/>
    <w:rsid w:val="00F83804"/>
    <w:rsid w:val="148B6753"/>
    <w:rsid w:val="48AA1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listparagraph"/>
    <w:basedOn w:val="1"/>
    <w:qFormat/>
    <w:uiPriority w:val="0"/>
    <w:pPr>
      <w:widowControl/>
      <w:spacing w:before="150" w:after="150"/>
      <w:ind w:left="150" w:right="150"/>
      <w:jc w:val="left"/>
    </w:pPr>
    <w:rPr>
      <w:rFonts w:ascii="Times New Roman" w:hAnsi="Times New Roman" w:eastAsia="宋体" w:cs="Times New Roman"/>
      <w:color w:val="333333"/>
      <w:kern w:val="0"/>
      <w:sz w:val="20"/>
      <w:szCs w:val="20"/>
    </w:rPr>
  </w:style>
  <w:style w:type="paragraph" w:customStyle="1" w:styleId="9">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AA1B-8C83-4B26-AA4B-F488B0ACFF1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212</Words>
  <Characters>1213</Characters>
  <Lines>10</Lines>
  <Paragraphs>2</Paragraphs>
  <TotalTime>244</TotalTime>
  <ScaleCrop>false</ScaleCrop>
  <LinksUpToDate>false</LinksUpToDate>
  <CharactersWithSpaces>1423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2018-03-14T03:11:00Z</dcterms:created>
  <dc:creator>lenovo</dc:creator>
  <cp:lastModifiedBy>LT</cp:lastModifiedBy>
  <cp:lastPrinted>2018-03-14T07:10:00Z</cp:lastPrinted>
  <dcterms:modified xsi:type="dcterms:W3CDTF">2020-04-29T06:52:16Z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